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971E" w14:textId="77777777" w:rsidR="004A1E42" w:rsidRDefault="001A1F92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A28F61B" wp14:editId="00763591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36B712EB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КЫРГЫЗ РЕСПУБЛИКАСЫНЫН МИНИСТРЛЕР КАБИНЕТИНИН ТОКТОМУ</w:t>
      </w:r>
    </w:p>
    <w:p w14:paraId="285DA3FA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</w:pPr>
      <w:r>
        <w:rPr>
          <w:rFonts w:eastAsia="Arial"/>
          <w:color w:val="000000"/>
        </w:rPr>
        <w:t>2024-жылдын 25-декабры № 800</w:t>
      </w:r>
    </w:p>
    <w:p w14:paraId="2B688929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"Кыргыз Республикасынын Ички иштер министрлигинин Жол кыймылынын коопсуздугун камсыздоо башкы башкармалыгынын Техникалык багыттагы борбору" мамлекеттик ишканасын кайра уюштуруу маселелери жөнүндө</w:t>
      </w:r>
    </w:p>
    <w:p w14:paraId="6462AD7A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Мамлекеттик ишканалардын ишин өркүндөтүү максатында, "Кыргыз</w:t>
      </w:r>
      <w:r>
        <w:rPr>
          <w:rFonts w:eastAsia="Arial"/>
          <w:color w:val="000000"/>
        </w:rPr>
        <w:t xml:space="preserve"> Республикасынын Министрлер Кабинети жөнүндө" Кыргыз Республикасынын конституциялык Мыйзамынын </w:t>
      </w:r>
      <w:hyperlink r:id="rId9" w:anchor="st_13" w:tooltip="https://cbd.minjust.gov.kg/4-3094/edition/1411/kg#st_13" w:history="1">
        <w:r>
          <w:rPr>
            <w:rStyle w:val="affb"/>
            <w:rFonts w:eastAsia="Arial"/>
            <w:color w:val="0000FF"/>
          </w:rPr>
          <w:t>13</w:t>
        </w:r>
      </w:hyperlink>
      <w:r>
        <w:rPr>
          <w:rFonts w:eastAsia="Arial"/>
          <w:color w:val="000000"/>
        </w:rPr>
        <w:t xml:space="preserve">, </w:t>
      </w:r>
      <w:hyperlink r:id="rId10" w:anchor="st_17" w:tooltip="https://cbd.minjust.gov.kg/4-3094/edition/1411/kg#st_17" w:history="1">
        <w:r>
          <w:rPr>
            <w:rStyle w:val="affb"/>
            <w:rFonts w:eastAsia="Arial"/>
            <w:color w:val="0000FF"/>
          </w:rPr>
          <w:t>17</w:t>
        </w:r>
      </w:hyperlink>
      <w:r>
        <w:rPr>
          <w:rFonts w:eastAsia="Arial"/>
          <w:color w:val="000000"/>
        </w:rPr>
        <w:t>-беренелерине ылайык Кыргыз Республикасынын Министрлер Кабинети токтом кылат:</w:t>
      </w:r>
    </w:p>
    <w:p w14:paraId="38A61B61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1. "Кыргыз Республикасынын Ички иштер министрлигинин Жол </w:t>
      </w:r>
      <w:r>
        <w:rPr>
          <w:rFonts w:eastAsia="Arial"/>
          <w:color w:val="000000"/>
        </w:rPr>
        <w:t>кыймылынын коопсуздугун камсыздоо башкы башкармалыгынын Техникалык багыттагы борбору" мамлекеттик ишканасы ага "Кыргыз Республикасынын Ички иштер министрлигинин Жол кыймылынын коопсуздугун камсыздоо башкы башкармалыгынын Адистештирилген монтаждык-эксплуата</w:t>
      </w:r>
      <w:r>
        <w:rPr>
          <w:rFonts w:eastAsia="Arial"/>
          <w:color w:val="000000"/>
        </w:rPr>
        <w:t>циялык башкармалыгы" мамлекеттик ишканасын кошуу жолу менен кайра уюштурулсун.</w:t>
      </w:r>
    </w:p>
    <w:p w14:paraId="57752DF5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"Кыргыз Республикасынын Ички иштер министрлигинин Жол кыймылынын коопсуздугун камсыздоо башкы башкармалыгынын Техникалык багыттагы борбору" мамлекеттик ишканасы "Кыргыз Респу</w:t>
      </w:r>
      <w:r>
        <w:rPr>
          <w:rFonts w:eastAsia="Arial"/>
          <w:color w:val="000000"/>
        </w:rPr>
        <w:t>бликасынын Ички иштер министрлигинин Жол кыймылынын коопсуздугун камсыздоо башкы башкармалыгынын Адистештирилген монтаждык-эксплуатациялык башкармалыгы" мамлекеттик ишканасынын укуктарынын жана милдеттенмелеринин укук мураскери болуп саналат деп белгиленси</w:t>
      </w:r>
      <w:r>
        <w:rPr>
          <w:rFonts w:eastAsia="Arial"/>
          <w:color w:val="000000"/>
        </w:rPr>
        <w:t>н.</w:t>
      </w:r>
    </w:p>
    <w:p w14:paraId="4570E20D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3. Кыргыз Республикасынын Өкмөтүнүн 2014-жылдын 17-декабрындагы № 711 "Кыргыз Республикасынын Ички иштер министрлигинин Жол кыймылынын коопсуздугун камсыздоо башкы башкармалыгынын Техникалык багыттагы борбору" мамлекеттик ишканасы жөнүндө" </w:t>
      </w:r>
      <w:hyperlink r:id="rId11" w:tooltip="https://cbd.minjust.gov.kg/7-17785/edition/1061105/kg" w:history="1">
        <w:r>
          <w:rPr>
            <w:rStyle w:val="affb"/>
            <w:rFonts w:eastAsia="Arial"/>
            <w:color w:val="0000FF"/>
          </w:rPr>
          <w:t>токтомуна</w:t>
        </w:r>
      </w:hyperlink>
      <w:r>
        <w:rPr>
          <w:rFonts w:eastAsia="Arial"/>
          <w:color w:val="000000"/>
        </w:rPr>
        <w:t xml:space="preserve"> төмөнкүдөй өзгөртүүлөр киргизилсин:</w:t>
      </w:r>
    </w:p>
    <w:p w14:paraId="169CE298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жогоруда аталган </w:t>
      </w:r>
      <w:hyperlink r:id="rId12" w:tooltip="https://cbd.minjust.gov.kg/7-17785/edition/1061105/kg" w:history="1">
        <w:r>
          <w:rPr>
            <w:rStyle w:val="affb"/>
            <w:rFonts w:eastAsia="Arial"/>
            <w:color w:val="0000FF"/>
          </w:rPr>
          <w:t>токтом</w:t>
        </w:r>
      </w:hyperlink>
      <w:r>
        <w:rPr>
          <w:rFonts w:eastAsia="Arial"/>
          <w:color w:val="000000"/>
        </w:rPr>
        <w:t xml:space="preserve"> менен бекитилген "Кыргыз Республикасынын Ички иштер министрлигинин Жол кыймылынын коопсуздугун камсыздоо башкы башкармалыгынын Техникалык багыттагы борбору" мамлекеттик ишканасынын </w:t>
      </w:r>
      <w:hyperlink r:id="rId13" w:anchor="pr" w:tooltip="https://cbd.minjust.gov.kg/7-17785/edition/1061105/kg#pr" w:history="1">
        <w:r>
          <w:rPr>
            <w:rStyle w:val="affb"/>
            <w:rFonts w:eastAsia="Arial"/>
            <w:color w:val="0000FF"/>
          </w:rPr>
          <w:t>Уставында</w:t>
        </w:r>
      </w:hyperlink>
      <w:r>
        <w:rPr>
          <w:rFonts w:eastAsia="Arial"/>
          <w:color w:val="000000"/>
        </w:rPr>
        <w:t>:</w:t>
      </w:r>
    </w:p>
    <w:p w14:paraId="1BAD9AD7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- 3, 8, 28, 29-пункттарында, 38-пункттун 2-пунктчасында, 62-пункттун экинчи абзацында ар кандай жөндөмөдөгү "Өкмөтү" деге</w:t>
      </w:r>
      <w:r>
        <w:rPr>
          <w:rFonts w:eastAsia="Arial"/>
          <w:color w:val="000000"/>
        </w:rPr>
        <w:t>н сөз тиешелүү жөндөмөдөгү "Министрлер Кабинети" деген сөздөргө алмаштырылсын;</w:t>
      </w:r>
    </w:p>
    <w:p w14:paraId="6E19F7BB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- 36-пункттун 8-пунктчасында, 39-пункттун 8-пунктчасында, 40-пункттун 2-пунктчасында, 42-пунктта, 43-пункттун биринчи абзацында ар кандай жөндөмөдөгү "Премьер-министри" деген сө</w:t>
      </w:r>
      <w:r>
        <w:rPr>
          <w:rFonts w:eastAsia="Arial"/>
          <w:color w:val="000000"/>
        </w:rPr>
        <w:t>з тиешелүү жөндөмөдөгү "Министрлер Кабинетинин Төрагасы" деген сөздөргө алмаштырылсын;</w:t>
      </w:r>
    </w:p>
    <w:p w14:paraId="7541A1AA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- 15-пункт төмөнкүдөй мазмундагы 7-9-пунктчалар менен толукталсын:</w:t>
      </w:r>
    </w:p>
    <w:p w14:paraId="71E3E3C7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"7) жол кыймылын уюштуруунун техникалык каражаттарын (светофор объекттерин, жол белгилерин) орнотуу, техникалык тейлөө жана күтүү аркылуу жол кыймылынын коопсуздугун камсыз кылуу;</w:t>
      </w:r>
    </w:p>
    <w:p w14:paraId="4EA62E39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белгиленген эрежелерге жана стандарттарга ылайык көчөлөрдүн өтүүчү бөлүгү</w:t>
      </w:r>
      <w:r>
        <w:rPr>
          <w:rFonts w:eastAsia="Arial"/>
          <w:color w:val="000000"/>
        </w:rPr>
        <w:t>нө горизонталдуу жана вертикалдуу жол чиймелерин түшүрүү, калыбына келтирүү жана өчүрүү боюнча иштерди аткаруу;</w:t>
      </w:r>
    </w:p>
    <w:p w14:paraId="58480DF5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9) жол кыймылынын эрежелерин бузууларды фото жана кино тартуу, видео фиксациялоо функциясы бар аппараттык-программалык комплекстерди техникалык </w:t>
      </w:r>
      <w:r>
        <w:rPr>
          <w:rFonts w:eastAsia="Arial"/>
          <w:color w:val="000000"/>
        </w:rPr>
        <w:t>тейлөө.";</w:t>
      </w:r>
    </w:p>
    <w:p w14:paraId="5F4C5442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- 16-пункт төмөнкүдөй мазмундагы 14-29-пунктчалар менен толукталсын:</w:t>
      </w:r>
    </w:p>
    <w:p w14:paraId="0E49432B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"14) светофор объекттерин, жол кыймылын жөнгө салуу аппаратураларын, жол кыймылын жөнгө салуунун автоматташтырылган башкаруу системаларын, жол кыймылын уюштурууда колдонулуучу б</w:t>
      </w:r>
      <w:r>
        <w:rPr>
          <w:rFonts w:eastAsia="Arial"/>
          <w:color w:val="000000"/>
        </w:rPr>
        <w:t>айланыш линияларын жана башка техникалык каражаттарды жана жабдууларды орнотуу, реконструкциялоо, монтаждоо, жөндөө, оңдоо;</w:t>
      </w:r>
    </w:p>
    <w:p w14:paraId="2BA27E45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15) бардык модификациялардагы жол белгилерин орнотуу, алмаштыруу жана калыбына келтирүү;</w:t>
      </w:r>
    </w:p>
    <w:p w14:paraId="13D2F902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16) жөө жүрүүчүлөр үчүн тосмолорду орнотуу;</w:t>
      </w:r>
    </w:p>
    <w:p w14:paraId="1FA77056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17) жол чиймелерин түшүрүү;</w:t>
      </w:r>
    </w:p>
    <w:p w14:paraId="758D45F7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18) жол кыймылын жөнгө салуунун техникалык каражаттарын эксплуатациялоо;</w:t>
      </w:r>
    </w:p>
    <w:p w14:paraId="47C213CF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19) жол белгилерин, тирөөчтөрдү, кронштейндерди жана башка даярдоолорду, түйүндөрдү, ошондой эле жол кыймылын уюштуруунун техникалык каражаттарын бекитүү </w:t>
      </w:r>
      <w:r>
        <w:rPr>
          <w:rFonts w:eastAsia="Arial"/>
          <w:color w:val="000000"/>
        </w:rPr>
        <w:t>үчүн</w:t>
      </w:r>
      <w:r>
        <w:rPr>
          <w:rFonts w:eastAsia="Arial"/>
          <w:color w:val="000000"/>
        </w:rPr>
        <w:t xml:space="preserve"> тетиктерди жана жол кыймылын уюштурууда колдонулуучу башка техникалык буюмдарды жасоо;</w:t>
      </w:r>
    </w:p>
    <w:p w14:paraId="7B7EC86F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20) светофор объекттерин башкаруу аппаратураларынын заманбап системасын киргизүү жана аларды жөнгө салуу;</w:t>
      </w:r>
    </w:p>
    <w:p w14:paraId="49DC3B2A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21) жол кыймылын жөнгө салуунун техникалык каражаттарын ки</w:t>
      </w:r>
      <w:r>
        <w:rPr>
          <w:rFonts w:eastAsia="Arial"/>
          <w:color w:val="000000"/>
        </w:rPr>
        <w:t>ргизүүнүн жылдык жана келечектүү пландарын иштеп чыгууга катышуу, керектүү материалдарга жана жабдууларга муктаждыкты аныктоо;</w:t>
      </w:r>
    </w:p>
    <w:p w14:paraId="20D6A961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22) жөнгө салуунун техникалык каражаттарын эксплуатациялоо боюнча аткарылган жумуштардын мезгилдүүлүгүн (тизмегин) жыл сайын анык</w:t>
      </w:r>
      <w:r>
        <w:rPr>
          <w:rFonts w:eastAsia="Arial"/>
          <w:color w:val="000000"/>
        </w:rPr>
        <w:t>тоо;</w:t>
      </w:r>
    </w:p>
    <w:p w14:paraId="662CB006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23) жол кыймылын жөнгө салуунун эксплуатациялоодо турган техникалык каражаттарына техникалык документтерди жүргүзүү жана аларды эсепке алуу;</w:t>
      </w:r>
    </w:p>
    <w:p w14:paraId="5B69C273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24) жеткирүүчүлөрдөн материалдарды жана жөнгө салуунун техникалык каражаттарын алуу, аларды эсепке алуу жана с</w:t>
      </w:r>
      <w:r>
        <w:rPr>
          <w:rFonts w:eastAsia="Arial"/>
          <w:color w:val="000000"/>
        </w:rPr>
        <w:t>актоо, алардын багыты боюнча гана пайдаланылышын контролдоо;</w:t>
      </w:r>
    </w:p>
    <w:p w14:paraId="0355A1AE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25) жөнгө салуу каражаттарын долбоорлоого тапшырмаларды даярдоо, долбоорлорду макулдашуу жапа долбоордук документтерди кабыл алуу;</w:t>
      </w:r>
    </w:p>
    <w:p w14:paraId="072832E8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26) жөнгө салуунун техникалык каражаттарынын курулушу жана оңдоо</w:t>
      </w:r>
      <w:r>
        <w:rPr>
          <w:rFonts w:eastAsia="Arial"/>
          <w:color w:val="000000"/>
        </w:rPr>
        <w:t xml:space="preserve"> иштери аяктаган объекттерин заказчыга көрсөтүү;</w:t>
      </w:r>
    </w:p>
    <w:p w14:paraId="2C35A594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27) бухгалтердик, ыкчам жана статистикалык эсепке алууну уюштуруу жана жүргүзүү, кассалык операцияларды жүргүзүү, эмгек акыны белгиленген тартипте эсептөө жана төлөө;</w:t>
      </w:r>
    </w:p>
    <w:p w14:paraId="211DFA8E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28) жол кыймылынын коопсуздугу, автомоби</w:t>
      </w:r>
      <w:r>
        <w:rPr>
          <w:rFonts w:eastAsia="Arial"/>
          <w:color w:val="000000"/>
        </w:rPr>
        <w:t>ль жолдорун жана жол курулмаларын куруу, реконструкциялоо, куруу технологиясы жаатында илимий-изилдөө, тажрыйбалык-конструктордук жана башка иштерди жүргүзүү;</w:t>
      </w:r>
    </w:p>
    <w:p w14:paraId="1621E09F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29) жол кыймылынын эрежелерин бузууларды фото жана кино тартуу, видео фиксациялоо функциясы бар а</w:t>
      </w:r>
      <w:r>
        <w:rPr>
          <w:rFonts w:eastAsia="Arial"/>
          <w:color w:val="000000"/>
        </w:rPr>
        <w:t>ппараттык-программалык комплекстерди техникалык тейлөө.";</w:t>
      </w:r>
    </w:p>
    <w:p w14:paraId="2CB2EEBB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- 51-пункт төмөнкүдөй редакцияда баяндалсын:</w:t>
      </w:r>
    </w:p>
    <w:p w14:paraId="677D53E6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"51. Ишканада директордун эки орун басарынын кызмат орундары каралган. Ишкананын директорунун орун басарлары Ишкананын директорунун сунуштамасы боюнча ма</w:t>
      </w:r>
      <w:r>
        <w:rPr>
          <w:rFonts w:eastAsia="Arial"/>
          <w:color w:val="000000"/>
        </w:rPr>
        <w:t>млекеттик мүлктү башкаруу чөйрөсүндөгү ыйгарым укуктуу орган тарабынан кызмат ордуна дайындалат жана кызмат ордунан бошотулат.";</w:t>
      </w:r>
    </w:p>
    <w:p w14:paraId="4E0881D6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Кыргыз Республикасынын Өкмөтүнүн 2017-жылдын 9-ноябрындагы № 734 "Кыргыз Республикасынын Ички иштер министрлигинин ишин уюшт</w:t>
      </w:r>
      <w:r>
        <w:rPr>
          <w:rFonts w:eastAsia="Arial"/>
          <w:color w:val="000000"/>
        </w:rPr>
        <w:t xml:space="preserve">уруунун айрым маселелери жөнүндө" </w:t>
      </w:r>
      <w:hyperlink r:id="rId14" w:tooltip="https://cbd.minjust.gov.kg/7-2230/edition/1061095/kg" w:history="1">
        <w:r>
          <w:rPr>
            <w:rStyle w:val="affb"/>
            <w:rFonts w:eastAsia="Arial"/>
            <w:color w:val="0000FF"/>
          </w:rPr>
          <w:t>токтомуна</w:t>
        </w:r>
      </w:hyperlink>
      <w:r>
        <w:rPr>
          <w:rFonts w:eastAsia="Arial"/>
          <w:color w:val="000000"/>
        </w:rPr>
        <w:t xml:space="preserve"> төмөнкү өзгөртүүлөр киргизилсин:</w:t>
      </w:r>
    </w:p>
    <w:p w14:paraId="3769BC12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1-пункттун үчүнчү абзацы, 2-пункттун үчүнчү абзацы күчүн жоготту деп таанылсын;</w:t>
      </w:r>
    </w:p>
    <w:p w14:paraId="6E60C365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жогоруда аталган токтом менен бекитилген Кыргыз Республикасынын Ички иштер министрлигинин Жол кыймылынын коопсуздугун камсыздоо башкы башкармалыгынын башкаруу </w:t>
      </w:r>
      <w:hyperlink r:id="rId15" w:anchor="pr3" w:tooltip="https://cbd.minjust.gov.kg/7-2230/edition/1061095/kg#pr3" w:history="1">
        <w:r>
          <w:rPr>
            <w:rStyle w:val="affb"/>
            <w:rFonts w:eastAsia="Arial"/>
            <w:color w:val="0000FF"/>
          </w:rPr>
          <w:t>схемасы</w:t>
        </w:r>
      </w:hyperlink>
      <w:r>
        <w:rPr>
          <w:rFonts w:eastAsia="Arial"/>
          <w:color w:val="000000"/>
        </w:rPr>
        <w:t xml:space="preserve"> ушул токтомдун </w:t>
      </w:r>
      <w:hyperlink w:anchor="pr" w:tooltip="#pr" w:history="1">
        <w:r>
          <w:rPr>
            <w:rStyle w:val="affb"/>
            <w:rFonts w:eastAsia="Arial"/>
          </w:rPr>
          <w:t>тиркемесине</w:t>
        </w:r>
      </w:hyperlink>
      <w:r>
        <w:rPr>
          <w:rFonts w:eastAsia="Arial"/>
          <w:color w:val="000000"/>
        </w:rPr>
        <w:t xml:space="preserve"> ылайык редакцияда баяндалсын.</w:t>
      </w:r>
    </w:p>
    <w:p w14:paraId="1134F720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5. Төмөнкүлөр күчүн жоготту деп</w:t>
      </w:r>
      <w:r>
        <w:rPr>
          <w:rFonts w:eastAsia="Arial"/>
          <w:color w:val="000000"/>
        </w:rPr>
        <w:t xml:space="preserve"> таанылсын:</w:t>
      </w:r>
    </w:p>
    <w:p w14:paraId="37F93CCD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Кыргыз Республикасынын Өкмөтүнүн 2020-жылдын 11-майындагы № 247 "Кыргыз Республикасында коомдук тартипти жана жол кыймылынын коопсуздугун камсыздоо иштерин уюштуруунун айрым маселелери жөнүндө" </w:t>
      </w:r>
      <w:hyperlink r:id="rId16" w:tooltip="https://cbd.minjust.gov.kg/7-20551/edition/1175328/kg" w:history="1">
        <w:r>
          <w:rPr>
            <w:rStyle w:val="affb"/>
            <w:rFonts w:eastAsia="Arial"/>
            <w:color w:val="0000FF"/>
          </w:rPr>
          <w:t>токтомунун</w:t>
        </w:r>
      </w:hyperlink>
      <w:r>
        <w:rPr>
          <w:rFonts w:eastAsia="Arial"/>
          <w:color w:val="000000"/>
        </w:rPr>
        <w:t xml:space="preserve"> 1-пунктунун 2-пунктчасы;</w:t>
      </w:r>
    </w:p>
    <w:p w14:paraId="6F9E4475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Кыргыз Республикасынын Өкмөтүнүн 2021-жылдын 17-мартындагы № 99 "Ички иштер министрлигинин ишин уюштуруу маселелери боюнча Кыргыз Респу</w:t>
      </w:r>
      <w:r>
        <w:rPr>
          <w:rFonts w:eastAsia="Arial"/>
          <w:color w:val="000000"/>
        </w:rPr>
        <w:t xml:space="preserve">бликасынын Өкмөтүнүн айрым чечимдерине өзгөртүүлөрдү киргизүү жөнүндө" </w:t>
      </w:r>
      <w:hyperlink r:id="rId17" w:tooltip="https://cbd.minjust.gov.kg/7-20823/edition/1061107/kg" w:history="1">
        <w:r>
          <w:rPr>
            <w:rStyle w:val="affb"/>
            <w:rFonts w:eastAsia="Arial"/>
            <w:color w:val="0000FF"/>
          </w:rPr>
          <w:t>токтомунун</w:t>
        </w:r>
      </w:hyperlink>
      <w:r>
        <w:rPr>
          <w:rFonts w:eastAsia="Arial"/>
          <w:color w:val="000000"/>
        </w:rPr>
        <w:t xml:space="preserve"> 2-пункту.</w:t>
      </w:r>
    </w:p>
    <w:p w14:paraId="25B5415B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6. Кыргыз Республикасынын Ички иштер министрлиги:</w:t>
      </w:r>
    </w:p>
    <w:p w14:paraId="3598F57C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ушул токтомдун 1-пунктунда көрсөтүлгөн кайра уюштурулуу</w:t>
      </w:r>
      <w:r>
        <w:rPr>
          <w:rFonts w:eastAsia="Arial"/>
          <w:color w:val="000000"/>
        </w:rPr>
        <w:t>чу юридикалык жактардын өткөрүп берүү актыларын бекитсин;</w:t>
      </w:r>
    </w:p>
    <w:p w14:paraId="480E5D14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ушул токтомдун 1-пунктунда көрсөтүлгөн юридикалык жактарды юстиция органдарында мамлекеттик кайра каттоону жүргүзсүн;</w:t>
      </w:r>
    </w:p>
    <w:p w14:paraId="6A15A998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ушул токтомдон келип чыгуучу зарыл чараларды көрсүн.</w:t>
      </w:r>
    </w:p>
    <w:p w14:paraId="5C182A8C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7. Бул токтомдун атка</w:t>
      </w:r>
      <w:r>
        <w:rPr>
          <w:rFonts w:eastAsia="Arial"/>
          <w:color w:val="000000"/>
        </w:rPr>
        <w:t>рылышын контролдоо Кыргыз Республикасынын Президентинин Администрациясынын Президенттин жана Министрлер Кабинетинин чечимдерин аткарууну контролдоо башкармалыгына жүктөлсүн.</w:t>
      </w:r>
    </w:p>
    <w:p w14:paraId="26252024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8. Бул токтом расмий жарыяланган күндөн тартып он күн өткөндөн кийин күчүнө кирет.</w:t>
      </w:r>
    </w:p>
    <w:p w14:paraId="794ED267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1F497D" w:themeColor="text2"/>
        </w:rPr>
      </w:pPr>
      <w:r>
        <w:rPr>
          <w:rFonts w:eastAsia="Arial"/>
          <w:i/>
          <w:color w:val="1F497D" w:themeColor="text2"/>
        </w:rPr>
        <w:t>"Эркин Тоо" мамлекеттик расмий гезитинин 2024-жылдын 12-декабрындагы № 101 (3656)  жарыяланды</w:t>
      </w:r>
    </w:p>
    <w:p w14:paraId="5FEAA4A4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8"/>
        <w:gridCol w:w="236"/>
        <w:gridCol w:w="3111"/>
      </w:tblGrid>
      <w:tr w:rsidR="004A1E42" w14:paraId="7C25DA52" w14:textId="77777777">
        <w:tc>
          <w:tcPr>
            <w:tcW w:w="60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47BAFEB8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Кыргыз Республикасынын</w:t>
            </w:r>
          </w:p>
          <w:p w14:paraId="6BCABC32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Министрлер Кабинетинин</w:t>
            </w:r>
          </w:p>
          <w:p w14:paraId="5BA2C4D2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Төрагасы</w:t>
            </w:r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9378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71AA3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rFonts w:eastAsia="Arial"/>
                <w:b/>
                <w:color w:val="000000"/>
              </w:rPr>
              <w:t>А.А. Касымалиев</w:t>
            </w:r>
          </w:p>
        </w:tc>
      </w:tr>
    </w:tbl>
    <w:p w14:paraId="53356656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42A3D678" w14:textId="77777777" w:rsidR="004A1E42" w:rsidRDefault="004A1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4A1E42" w14:paraId="43626DEE" w14:textId="77777777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A2A5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60BD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39D4" w14:textId="77777777" w:rsidR="004A1E42" w:rsidRDefault="001A1F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bookmarkStart w:id="0" w:name="pr"/>
            <w:r>
              <w:rPr>
                <w:rFonts w:eastAsia="Arial"/>
                <w:color w:val="000000"/>
              </w:rPr>
              <w:t>Тиркеме</w:t>
            </w:r>
            <w:bookmarkEnd w:id="0"/>
          </w:p>
        </w:tc>
      </w:tr>
    </w:tbl>
    <w:p w14:paraId="32201D4D" w14:textId="77777777" w:rsidR="004A1E42" w:rsidRDefault="001A1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"Кыргыз Республикасынын Ички иштер министрлигинин Жол кыймылынын коопсуздугун камсыздоо башкы башкармалыгынын башкаруу</w:t>
      </w:r>
      <w:r>
        <w:rPr>
          <w:rFonts w:eastAsia="Arial"/>
          <w:b/>
          <w:color w:val="000000"/>
          <w:sz w:val="28"/>
          <w:szCs w:val="28"/>
        </w:rPr>
        <w:br/>
        <w:t>СХЕМАСЫ</w:t>
      </w:r>
    </w:p>
    <w:p w14:paraId="1510E4A6" w14:textId="77777777" w:rsidR="004A1E42" w:rsidRDefault="004A1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center"/>
      </w:pPr>
    </w:p>
    <w:p w14:paraId="44206755" w14:textId="77777777" w:rsidR="004A1E42" w:rsidRDefault="001A1F92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1F1A14A" wp14:editId="3DC574C4">
                <wp:extent cx="5940425" cy="285449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467035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4" cy="2854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224.76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</w:p>
    <w:sectPr w:rsidR="004A1E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B186" w14:textId="77777777" w:rsidR="004A1E42" w:rsidRDefault="001A1F92">
      <w:pPr>
        <w:spacing w:after="0"/>
      </w:pPr>
      <w:r>
        <w:separator/>
      </w:r>
    </w:p>
  </w:endnote>
  <w:endnote w:type="continuationSeparator" w:id="0">
    <w:p w14:paraId="7505946F" w14:textId="77777777" w:rsidR="004A1E42" w:rsidRDefault="001A1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F380" w14:textId="77777777" w:rsidR="001A1F92" w:rsidRDefault="001A1F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66E7" w14:textId="1CC076AF" w:rsidR="001A1F92" w:rsidRPr="001A1F92" w:rsidRDefault="001A1F92" w:rsidP="001A1F92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3237" w14:textId="77777777" w:rsidR="001A1F92" w:rsidRDefault="001A1F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F611" w14:textId="77777777" w:rsidR="004A1E42" w:rsidRDefault="001A1F92">
      <w:pPr>
        <w:spacing w:after="0"/>
      </w:pPr>
      <w:r>
        <w:separator/>
      </w:r>
    </w:p>
  </w:footnote>
  <w:footnote w:type="continuationSeparator" w:id="0">
    <w:p w14:paraId="50F35571" w14:textId="77777777" w:rsidR="004A1E42" w:rsidRDefault="001A1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08AD" w14:textId="77777777" w:rsidR="001A1F92" w:rsidRDefault="001A1F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78B" w14:textId="0BB79449" w:rsidR="001A1F92" w:rsidRPr="001A1F92" w:rsidRDefault="001A1F92" w:rsidP="001A1F92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Кыргыз Республикасынын Министрлер Кабинетинин 2024-жылдын 25-декабрындагы № 800 "Кыргыз Республикасынын Ички иштер министрлигинин Жол кыймылынын коопсуздугун камсыздоо башкы башкармалыгынын техникалык багыттагы борбору" мамлекеттик ишканасын кайра уюштуруу маселелери жөнүндө" токтому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9BDB" w14:textId="77777777" w:rsidR="001A1F92" w:rsidRDefault="001A1F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42"/>
    <w:rsid w:val="001A1F92"/>
    <w:rsid w:val="004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3B90"/>
  <w15:docId w15:val="{BD5A2E9C-7F91-4A94-A380-2F2207EC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bd.minjust.gov.kg/7-17785/edition/1061105/kg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12" Type="http://schemas.openxmlformats.org/officeDocument/2006/relationships/hyperlink" Target="https://cbd.minjust.gov.kg/7-17785/edition/1061105/kg" TargetMode="External"/><Relationship Id="rId17" Type="http://schemas.openxmlformats.org/officeDocument/2006/relationships/hyperlink" Target="https://cbd.minjust.gov.kg/7-20823/edition/1061107/kg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7-20551/edition/1175328/k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7-17785/edition/1061105/kg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7-2230/edition/1061095/kg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bd.minjust.gov.kg/4-3094/edition/1411/kg" TargetMode="External"/><Relationship Id="rId19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4-3094/edition/1411/kg" TargetMode="External"/><Relationship Id="rId14" Type="http://schemas.openxmlformats.org/officeDocument/2006/relationships/hyperlink" Target="https://cbd.minjust.gov.kg/7-2230/edition/1061095/k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7461</Characters>
  <Application>Microsoft Office Word</Application>
  <DocSecurity>0</DocSecurity>
  <Lines>62</Lines>
  <Paragraphs>17</Paragraphs>
  <ScaleCrop>false</ScaleCrop>
  <Company>Krokoz™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2025-06-24T09:12:00Z</dcterms:created>
  <dcterms:modified xsi:type="dcterms:W3CDTF">2025-06-24T09:12:00Z</dcterms:modified>
</cp:coreProperties>
</file>